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ADB2C" w14:textId="77777777" w:rsidR="004265A9" w:rsidRDefault="004265A9" w:rsidP="004265A9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Roma Education Fund</w:t>
      </w:r>
    </w:p>
    <w:p w14:paraId="54D6FDFA" w14:textId="77777777" w:rsidR="004265A9" w:rsidRDefault="004265A9" w:rsidP="004265A9">
      <w:pPr>
        <w:spacing w:after="0" w:line="240" w:lineRule="auto"/>
        <w:jc w:val="center"/>
        <w:rPr>
          <w:rFonts w:asciiTheme="minorHAnsi" w:hAnsiTheme="minorHAnsi" w:cstheme="minorHAnsi"/>
          <w:b/>
          <w:iCs/>
          <w:spacing w:val="-2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sz w:val="36"/>
          <w:szCs w:val="36"/>
        </w:rPr>
        <w:t>Glossary of Terms</w:t>
      </w:r>
    </w:p>
    <w:p w14:paraId="36ECA216" w14:textId="0B9A3005" w:rsidR="002721A9" w:rsidRDefault="002721A9" w:rsidP="002721A9">
      <w:pPr>
        <w:pStyle w:val="NoSpacing"/>
        <w:rPr>
          <w:rFonts w:asciiTheme="minorHAnsi" w:hAnsiTheme="minorHAnsi" w:cs="Arial"/>
          <w:b/>
        </w:rPr>
      </w:pPr>
    </w:p>
    <w:p w14:paraId="3530E7F0" w14:textId="77777777" w:rsidR="004265A9" w:rsidRDefault="004265A9" w:rsidP="002721A9">
      <w:pPr>
        <w:pStyle w:val="NoSpacing"/>
        <w:rPr>
          <w:rFonts w:asciiTheme="minorHAnsi" w:hAnsiTheme="minorHAnsi" w:cs="Arial"/>
          <w:b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6818"/>
      </w:tblGrid>
      <w:tr w:rsidR="004265A9" w14:paraId="4678DF31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C855" w14:textId="77777777" w:rsidR="004265A9" w:rsidRDefault="004265A9">
            <w:pPr>
              <w:rPr>
                <w:rFonts w:asciiTheme="majorHAnsi" w:eastAsiaTheme="minorEastAsia" w:hAnsiTheme="majorHAnsi" w:cstheme="minorBidi"/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7D2" w14:textId="77777777" w:rsidR="004265A9" w:rsidRDefault="004265A9">
            <w:pPr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4265A9" w14:paraId="4C39B301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34B7" w14:textId="77777777" w:rsidR="004265A9" w:rsidRDefault="004265A9">
            <w:r>
              <w:t>Applicant, Grantee, Implementer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291E" w14:textId="77777777" w:rsidR="004265A9" w:rsidRDefault="004265A9">
            <w:r>
              <w:t xml:space="preserve">All reflect to the organization that applies for funds from REF. </w:t>
            </w:r>
          </w:p>
          <w:p w14:paraId="488C5F88" w14:textId="77777777" w:rsidR="004265A9" w:rsidRDefault="004265A9">
            <w:r>
              <w:t xml:space="preserve">Before the application is approved, the </w:t>
            </w:r>
            <w:r>
              <w:rPr>
                <w:i/>
              </w:rPr>
              <w:t>Applicant</w:t>
            </w:r>
            <w:r>
              <w:t xml:space="preserve"> name is used, after approval, the organization is labeled mostly as </w:t>
            </w:r>
            <w:r>
              <w:rPr>
                <w:i/>
              </w:rPr>
              <w:t>Grantee</w:t>
            </w:r>
            <w:r>
              <w:t xml:space="preserve"> or </w:t>
            </w:r>
            <w:r>
              <w:rPr>
                <w:i/>
              </w:rPr>
              <w:t>Implementer</w:t>
            </w:r>
          </w:p>
        </w:tc>
      </w:tr>
      <w:tr w:rsidR="004265A9" w14:paraId="43252C6A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1BF5" w14:textId="77777777" w:rsidR="004265A9" w:rsidRDefault="004265A9">
            <w:r>
              <w:t>Application Form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63BD" w14:textId="77777777" w:rsidR="004265A9" w:rsidRDefault="004265A9">
            <w:r>
              <w:t xml:space="preserve">The Applicant fills this initial Form to provide all necessary details towards REF on the Project they wish to implement. </w:t>
            </w:r>
          </w:p>
        </w:tc>
      </w:tr>
      <w:tr w:rsidR="004265A9" w14:paraId="749C353A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7C9" w14:textId="77777777" w:rsidR="004265A9" w:rsidRDefault="004265A9">
            <w:r>
              <w:t>Needs Assessment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255D" w14:textId="77777777" w:rsidR="004265A9" w:rsidRDefault="004265A9">
            <w:r>
              <w:t>Part of the Application Form, where the Applicant provides detailed demographical, educational etc. information on the area where the Project will be implemented</w:t>
            </w:r>
          </w:p>
        </w:tc>
      </w:tr>
      <w:tr w:rsidR="004265A9" w14:paraId="0F7691DF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E71C" w14:textId="77777777" w:rsidR="004265A9" w:rsidRDefault="004265A9">
            <w:r>
              <w:t>Result Framework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EC86" w14:textId="77777777" w:rsidR="004265A9" w:rsidRDefault="004265A9">
            <w:r>
              <w:t>Part of the Application Form, where the Applicant composes the list of Components, Activities, Indicators, Outputs and financial inputs for the Project</w:t>
            </w:r>
          </w:p>
        </w:tc>
      </w:tr>
      <w:tr w:rsidR="004265A9" w14:paraId="053C3FE2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CC89" w14:textId="77777777" w:rsidR="004265A9" w:rsidRDefault="004265A9">
            <w:r>
              <w:t>Model, Stream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8A46" w14:textId="77777777" w:rsidR="004265A9" w:rsidRDefault="004265A9">
            <w:r>
              <w:t xml:space="preserve">The Applications can be grouped into 5 Streams (Models). One Stream is one type of Application and one project belongs to one Stream only. </w:t>
            </w:r>
          </w:p>
          <w:p w14:paraId="6342657C" w14:textId="77777777" w:rsidR="004265A9" w:rsidRDefault="004265A9">
            <w:r>
              <w:t xml:space="preserve">For each Stream, the Application Form is different but the Project life-cycle is the same for all Streams. </w:t>
            </w:r>
          </w:p>
        </w:tc>
      </w:tr>
      <w:tr w:rsidR="004265A9" w14:paraId="55A5F99D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81E9" w14:textId="77777777" w:rsidR="004265A9" w:rsidRDefault="004265A9">
            <w:r>
              <w:t>Activity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CC6A" w14:textId="77777777" w:rsidR="004265A9" w:rsidRDefault="004265A9">
            <w:proofErr w:type="gramStart"/>
            <w:r>
              <w:t>Particular interventions</w:t>
            </w:r>
            <w:proofErr w:type="gramEnd"/>
            <w:r>
              <w:t xml:space="preserve"> inside the Project. Applicant reaches the goal of the Project through Activities</w:t>
            </w:r>
          </w:p>
        </w:tc>
      </w:tr>
      <w:tr w:rsidR="004265A9" w14:paraId="376C8142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E6A8" w14:textId="77777777" w:rsidR="004265A9" w:rsidRDefault="004265A9">
            <w:r>
              <w:t>Component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A713" w14:textId="77777777" w:rsidR="004265A9" w:rsidRDefault="004265A9">
            <w:r>
              <w:t>A Component is a group of certain Activities</w:t>
            </w:r>
          </w:p>
        </w:tc>
      </w:tr>
      <w:tr w:rsidR="004265A9" w14:paraId="49B46A50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9678" w14:textId="77777777" w:rsidR="004265A9" w:rsidRDefault="004265A9">
            <w:r>
              <w:t>Contracting phase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5D1A" w14:textId="77777777" w:rsidR="004265A9" w:rsidRDefault="004265A9">
            <w:r>
              <w:t xml:space="preserve">In the Contracting phase the fine-tuning of the Application takes place after the approval of the Project. Also, </w:t>
            </w:r>
            <w:proofErr w:type="gramStart"/>
            <w:r>
              <w:t>particular details</w:t>
            </w:r>
            <w:proofErr w:type="gramEnd"/>
            <w:r>
              <w:t xml:space="preserve"> of the implementation phase are specified: the payment schedule, the reporting and monitoring schedule. </w:t>
            </w:r>
            <w:proofErr w:type="gramStart"/>
            <w:r>
              <w:t>Finally</w:t>
            </w:r>
            <w:proofErr w:type="gramEnd"/>
            <w:r>
              <w:t xml:space="preserve"> the Contract is generated and signed.</w:t>
            </w:r>
          </w:p>
        </w:tc>
      </w:tr>
      <w:tr w:rsidR="004265A9" w14:paraId="6A1A9BEB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5DEC" w14:textId="77777777" w:rsidR="004265A9" w:rsidRDefault="004265A9">
            <w:r>
              <w:t>PIMP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FEED" w14:textId="77777777" w:rsidR="004265A9" w:rsidRDefault="004265A9">
            <w:r>
              <w:t xml:space="preserve">Project Monitoring and Implementation Plan. </w:t>
            </w:r>
          </w:p>
        </w:tc>
      </w:tr>
      <w:tr w:rsidR="004265A9" w14:paraId="36B06998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6DB3" w14:textId="77777777" w:rsidR="004265A9" w:rsidRDefault="004265A9">
            <w:r>
              <w:t>PDO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3203" w14:textId="77777777" w:rsidR="004265A9" w:rsidRDefault="004265A9">
            <w:r>
              <w:t>Project Development Objectives. The list of indicators for the Project</w:t>
            </w:r>
          </w:p>
        </w:tc>
      </w:tr>
      <w:tr w:rsidR="004265A9" w14:paraId="27A3BA28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B128" w14:textId="77777777" w:rsidR="004265A9" w:rsidRDefault="004265A9">
            <w:r>
              <w:lastRenderedPageBreak/>
              <w:t>Budget Table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0334" w14:textId="77777777" w:rsidR="004265A9" w:rsidRDefault="004265A9">
            <w:r>
              <w:t>The Budget Table is the list of all expenditures for the project.</w:t>
            </w:r>
          </w:p>
        </w:tc>
      </w:tr>
      <w:tr w:rsidR="004265A9" w14:paraId="40E869FF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6952" w14:textId="77777777" w:rsidR="004265A9" w:rsidRDefault="004265A9">
            <w:r>
              <w:t>PMC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5200" w14:textId="77777777" w:rsidR="004265A9" w:rsidRDefault="004265A9">
            <w:r>
              <w:t>Project Management Committee. Group of all relevant officers of REF.</w:t>
            </w:r>
          </w:p>
        </w:tc>
      </w:tr>
      <w:tr w:rsidR="004265A9" w14:paraId="0A3E0290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249F" w14:textId="77777777" w:rsidR="004265A9" w:rsidRDefault="004265A9">
            <w:r>
              <w:t>Reporting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AF17" w14:textId="77777777" w:rsidR="004265A9" w:rsidRDefault="004265A9">
            <w:r>
              <w:t xml:space="preserve">The Applicant’s obligation to send Reports to REF about the progress of the implementation. REF, when contracting the Applicant, defines the time intervals of the upcoming Reports (the Reporting Schedule). </w:t>
            </w:r>
          </w:p>
        </w:tc>
      </w:tr>
      <w:tr w:rsidR="004265A9" w14:paraId="31B48181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15DF" w14:textId="77777777" w:rsidR="004265A9" w:rsidRDefault="004265A9">
            <w:r>
              <w:t>Monitoring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D165" w14:textId="77777777" w:rsidR="004265A9" w:rsidRDefault="004265A9">
            <w:r>
              <w:t xml:space="preserve">A process when REF visits the implementation of the funded project and subjects it to scrutiny. </w:t>
            </w:r>
          </w:p>
          <w:p w14:paraId="30F1F12D" w14:textId="77777777" w:rsidR="004265A9" w:rsidRDefault="004265A9">
            <w:r>
              <w:t>While contracting, REF defines the Monitoring Schedule.</w:t>
            </w:r>
          </w:p>
          <w:p w14:paraId="4CBE0AE3" w14:textId="77777777" w:rsidR="004265A9" w:rsidRDefault="004265A9">
            <w:r>
              <w:t>The monitoring happens outside the System, but REF inserts the result of the Monitoring into the System.</w:t>
            </w:r>
          </w:p>
        </w:tc>
      </w:tr>
      <w:tr w:rsidR="004265A9" w14:paraId="6FFFB071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FFF0" w14:textId="77777777" w:rsidR="004265A9" w:rsidRDefault="004265A9">
            <w:r>
              <w:t>Board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7E5E" w14:textId="77777777" w:rsidR="004265A9" w:rsidRDefault="004265A9">
            <w:r>
              <w:t>The Head of REF, group of several head members. The Board does not interact directly with the System.</w:t>
            </w:r>
          </w:p>
        </w:tc>
      </w:tr>
      <w:tr w:rsidR="004265A9" w14:paraId="33D1428A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C627" w14:textId="77777777" w:rsidR="004265A9" w:rsidRDefault="004265A9">
            <w:r>
              <w:t>Indicators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9D9B" w14:textId="77777777" w:rsidR="004265A9" w:rsidRDefault="004265A9">
            <w:r>
              <w:t xml:space="preserve">Measurable objectives used for monitoring the tangible results of the project. For each Model (and each Components and Activities in the Model), REF provides predefined indicators the Applicant </w:t>
            </w:r>
            <w:proofErr w:type="gramStart"/>
            <w:r>
              <w:t>has to</w:t>
            </w:r>
            <w:proofErr w:type="gramEnd"/>
            <w:r>
              <w:t xml:space="preserve"> measure.</w:t>
            </w:r>
          </w:p>
        </w:tc>
      </w:tr>
      <w:tr w:rsidR="004265A9" w14:paraId="741AD285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6BF1" w14:textId="77777777" w:rsidR="004265A9" w:rsidRDefault="004265A9">
            <w:r>
              <w:t>Project Code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E526" w14:textId="77777777" w:rsidR="004265A9" w:rsidRDefault="004265A9">
            <w:r>
              <w:t xml:space="preserve">The moment an Applicant starts a Project, a Project Code is generated to the project automatically and remains with the Project during the full cycle and after it’s finished.  </w:t>
            </w:r>
          </w:p>
        </w:tc>
      </w:tr>
      <w:tr w:rsidR="004265A9" w14:paraId="77313014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31DA" w14:textId="77777777" w:rsidR="004265A9" w:rsidRDefault="004265A9">
            <w:r>
              <w:t>Reallocation Request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43A5" w14:textId="77777777" w:rsidR="004265A9" w:rsidRDefault="004265A9">
            <w:r>
              <w:t>The Applicant has a limited freedom of rearranging the approved amounts between Budget Categories without REF approval.</w:t>
            </w:r>
          </w:p>
          <w:p w14:paraId="79240DC5" w14:textId="77777777" w:rsidR="004265A9" w:rsidRDefault="004265A9">
            <w:r>
              <w:t>In case the Applicant wishes to reallocate more than 10% between Budget Categories or insert additional Budget elements, Reallocation Request is necessary towards REF.</w:t>
            </w:r>
          </w:p>
        </w:tc>
      </w:tr>
      <w:tr w:rsidR="004265A9" w14:paraId="03683F79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76A9" w14:textId="77777777" w:rsidR="004265A9" w:rsidRDefault="004265A9">
            <w:r>
              <w:t>Special Reallocation Request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13EE" w14:textId="77777777" w:rsidR="004265A9" w:rsidRDefault="004265A9">
            <w:r>
              <w:t xml:space="preserve">A request from Applicant towards REF to increase the Grant Amount. Only certain Applicants </w:t>
            </w:r>
            <w:proofErr w:type="gramStart"/>
            <w:r>
              <w:t>are allowed to</w:t>
            </w:r>
            <w:proofErr w:type="gramEnd"/>
            <w:r>
              <w:t xml:space="preserve"> send special reallocation request. REF can set this option in the Applicant’s settings section.</w:t>
            </w:r>
          </w:p>
        </w:tc>
      </w:tr>
      <w:tr w:rsidR="004265A9" w14:paraId="7E1F357B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A64D" w14:textId="77777777" w:rsidR="004265A9" w:rsidRDefault="004265A9">
            <w:r>
              <w:t>Approval Letter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AB4B" w14:textId="77777777" w:rsidR="004265A9" w:rsidRDefault="004265A9">
            <w:r>
              <w:t>After REF (the Board) approves an Application, an Approval Letter is sent to the Applicant informing them about the positive decision.</w:t>
            </w:r>
          </w:p>
        </w:tc>
      </w:tr>
      <w:tr w:rsidR="004265A9" w14:paraId="30CFB826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BCB4" w14:textId="77777777" w:rsidR="004265A9" w:rsidRDefault="004265A9">
            <w:r>
              <w:t>Grant Agreement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F32C" w14:textId="77777777" w:rsidR="004265A9" w:rsidRDefault="004265A9">
            <w:r>
              <w:t>The contract between the Applicant and the REF</w:t>
            </w:r>
          </w:p>
        </w:tc>
      </w:tr>
      <w:tr w:rsidR="004265A9" w14:paraId="2EDADDE6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697D" w14:textId="77777777" w:rsidR="004265A9" w:rsidRDefault="004265A9">
            <w:r>
              <w:lastRenderedPageBreak/>
              <w:t>Grant Amendment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B887" w14:textId="77777777" w:rsidR="004265A9" w:rsidRDefault="004265A9">
            <w:r>
              <w:t>Changes on the Grant Agreement during the Project. A separate document from the Grant Agreement containing the changes of the original contract.</w:t>
            </w:r>
          </w:p>
        </w:tc>
      </w:tr>
      <w:tr w:rsidR="004265A9" w14:paraId="0C2BC377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85A4" w14:textId="77777777" w:rsidR="004265A9" w:rsidRDefault="004265A9">
            <w:r>
              <w:t>Project Summary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AA30" w14:textId="77777777" w:rsidR="004265A9" w:rsidRDefault="004265A9">
            <w:r>
              <w:t>Summarization document (Word) for the Project. Only one version exists for the whole Project and getting updated by respective REF member.</w:t>
            </w:r>
          </w:p>
        </w:tc>
      </w:tr>
      <w:tr w:rsidR="004265A9" w14:paraId="20DFAB6D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5F69" w14:textId="77777777" w:rsidR="004265A9" w:rsidRDefault="004265A9">
            <w:r>
              <w:t>Payment Schedule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F4F1" w14:textId="77777777" w:rsidR="004265A9" w:rsidRDefault="004265A9">
            <w:r>
              <w:t>List of payments towards the Applicant for implementing the Project. The Payment Schedule contains the payment dates and payment amounts.</w:t>
            </w:r>
          </w:p>
        </w:tc>
      </w:tr>
      <w:tr w:rsidR="004265A9" w14:paraId="31286FF2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4153" w14:textId="77777777" w:rsidR="004265A9" w:rsidRDefault="004265A9">
            <w:r>
              <w:t>Donor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E6FE" w14:textId="77777777" w:rsidR="004265A9" w:rsidRDefault="004265A9">
            <w:r>
              <w:t>The Donors provide all financial resources for REF. Donors can be companies, governments, banks, etc.</w:t>
            </w:r>
          </w:p>
        </w:tc>
      </w:tr>
      <w:tr w:rsidR="004265A9" w14:paraId="5E371610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704D" w14:textId="77777777" w:rsidR="004265A9" w:rsidRDefault="004265A9">
            <w:r>
              <w:t>Donor Code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2E91" w14:textId="77777777" w:rsidR="004265A9" w:rsidRDefault="004265A9">
            <w:r>
              <w:t xml:space="preserve">Unique ID for a Donor. </w:t>
            </w:r>
          </w:p>
        </w:tc>
      </w:tr>
      <w:tr w:rsidR="004265A9" w14:paraId="66D06725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5628" w14:textId="77777777" w:rsidR="004265A9" w:rsidRDefault="004265A9">
            <w:r>
              <w:t xml:space="preserve">Donor </w:t>
            </w:r>
            <w:proofErr w:type="spellStart"/>
            <w:r>
              <w:t>Subcode</w:t>
            </w:r>
            <w:proofErr w:type="spellEnd"/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F70D" w14:textId="77777777" w:rsidR="004265A9" w:rsidRDefault="004265A9">
            <w:r>
              <w:t xml:space="preserve">The Donors provide financial resources </w:t>
            </w:r>
            <w:proofErr w:type="gramStart"/>
            <w:r>
              <w:t>in particular time</w:t>
            </w:r>
            <w:proofErr w:type="gramEnd"/>
            <w:r>
              <w:t xml:space="preserve"> intervals. Usually Donors have several time intervals comprising different amount of money. </w:t>
            </w:r>
          </w:p>
          <w:p w14:paraId="7599823E" w14:textId="77777777" w:rsidR="004265A9" w:rsidRDefault="004265A9">
            <w:r>
              <w:t xml:space="preserve">These time intervals have unique IDs called Donor </w:t>
            </w:r>
            <w:proofErr w:type="spellStart"/>
            <w:r>
              <w:t>Subcode</w:t>
            </w:r>
            <w:proofErr w:type="spellEnd"/>
            <w:r>
              <w:t>.</w:t>
            </w:r>
          </w:p>
          <w:p w14:paraId="1D26712C" w14:textId="77777777" w:rsidR="004265A9" w:rsidRDefault="004265A9">
            <w:r>
              <w:t xml:space="preserve">REF assigns Donor </w:t>
            </w:r>
            <w:proofErr w:type="spellStart"/>
            <w:r>
              <w:t>Subcodes</w:t>
            </w:r>
            <w:proofErr w:type="spellEnd"/>
            <w:r>
              <w:t xml:space="preserve"> to all expenditures in order to mark their financial sources. </w:t>
            </w:r>
          </w:p>
        </w:tc>
      </w:tr>
      <w:tr w:rsidR="004265A9" w14:paraId="150A8DA6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DF30" w14:textId="77777777" w:rsidR="004265A9" w:rsidRDefault="004265A9">
            <w:r>
              <w:t>Country Code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3218" w14:textId="77777777" w:rsidR="004265A9" w:rsidRDefault="004265A9">
            <w:r>
              <w:t xml:space="preserve">String ID for each Country (2-3 character long) </w:t>
            </w:r>
          </w:p>
        </w:tc>
      </w:tr>
      <w:tr w:rsidR="004265A9" w14:paraId="373CAA0B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E55B" w14:textId="77777777" w:rsidR="004265A9" w:rsidRDefault="004265A9">
            <w:r>
              <w:t>Timesheet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BBEA" w14:textId="77777777" w:rsidR="004265A9" w:rsidRDefault="004265A9">
            <w:r>
              <w:t xml:space="preserve">For internal monthly reporting, REF employee provides their timesheet that includes all of the </w:t>
            </w:r>
            <w:proofErr w:type="gramStart"/>
            <w:r>
              <w:t>work related</w:t>
            </w:r>
            <w:proofErr w:type="gramEnd"/>
            <w:r>
              <w:t xml:space="preserve"> activities, so REF can see what the particular employee performed each day of the month.</w:t>
            </w:r>
          </w:p>
        </w:tc>
      </w:tr>
      <w:tr w:rsidR="004265A9" w14:paraId="763A2378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3E04" w14:textId="77777777" w:rsidR="004265A9" w:rsidRDefault="004265A9">
            <w:r>
              <w:t>Internal Activity type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E703" w14:textId="77777777" w:rsidR="004265A9" w:rsidRDefault="004265A9">
            <w:r>
              <w:t xml:space="preserve">For internal reports: In the Timesheet, REF Employee provides the type of work completed for the </w:t>
            </w:r>
            <w:proofErr w:type="gramStart"/>
            <w:r>
              <w:t>particular Timesheet</w:t>
            </w:r>
            <w:proofErr w:type="gramEnd"/>
            <w:r>
              <w:t xml:space="preserve"> entry.  </w:t>
            </w:r>
          </w:p>
        </w:tc>
      </w:tr>
      <w:tr w:rsidR="004265A9" w14:paraId="33DD7829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BA71" w14:textId="77777777" w:rsidR="004265A9" w:rsidRDefault="004265A9">
            <w:r>
              <w:t xml:space="preserve">Expense Claim Form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40AA" w14:textId="77777777" w:rsidR="004265A9" w:rsidRDefault="004265A9">
            <w:r>
              <w:t xml:space="preserve">For internal reporting, REF employee provides the list of their </w:t>
            </w:r>
            <w:proofErr w:type="gramStart"/>
            <w:r>
              <w:t>work related</w:t>
            </w:r>
            <w:proofErr w:type="gramEnd"/>
            <w:r>
              <w:t xml:space="preserve"> expenses towards REF.</w:t>
            </w:r>
          </w:p>
          <w:p w14:paraId="5DCD9BC3" w14:textId="77777777" w:rsidR="004265A9" w:rsidRDefault="004265A9">
            <w:r>
              <w:t xml:space="preserve">REF reimburses all justifiable expenses towards the employees. </w:t>
            </w:r>
          </w:p>
        </w:tc>
      </w:tr>
      <w:tr w:rsidR="004265A9" w14:paraId="55A810D4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7B16" w14:textId="77777777" w:rsidR="004265A9" w:rsidRDefault="004265A9">
            <w:r>
              <w:t>Travel Order Form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CBB2" w14:textId="77777777" w:rsidR="004265A9" w:rsidRDefault="004265A9">
            <w:r>
              <w:t xml:space="preserve">For internal monthly reporting, REF employee provides the list of their </w:t>
            </w:r>
            <w:proofErr w:type="gramStart"/>
            <w:r>
              <w:t>work related</w:t>
            </w:r>
            <w:proofErr w:type="gramEnd"/>
            <w:r>
              <w:t xml:space="preserve"> traveling.</w:t>
            </w:r>
          </w:p>
        </w:tc>
      </w:tr>
      <w:tr w:rsidR="004265A9" w14:paraId="413DECCA" w14:textId="77777777" w:rsidTr="00426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7274" w14:textId="77777777" w:rsidR="004265A9" w:rsidRDefault="004265A9">
            <w:r>
              <w:t>LOI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9E7C" w14:textId="77777777" w:rsidR="004265A9" w:rsidRDefault="004265A9">
            <w:r>
              <w:t xml:space="preserve">List </w:t>
            </w:r>
            <w:proofErr w:type="gramStart"/>
            <w:r>
              <w:t>Of</w:t>
            </w:r>
            <w:proofErr w:type="gramEnd"/>
            <w:r>
              <w:t xml:space="preserve"> Invoices. An excel sheet generated based on all the invoices provided by the Applicant in a </w:t>
            </w:r>
            <w:proofErr w:type="gramStart"/>
            <w:r>
              <w:t>particular Reporting</w:t>
            </w:r>
            <w:proofErr w:type="gramEnd"/>
            <w:r>
              <w:t xml:space="preserve"> period.</w:t>
            </w:r>
          </w:p>
        </w:tc>
      </w:tr>
    </w:tbl>
    <w:p w14:paraId="035B492E" w14:textId="6A3FFC3E" w:rsidR="002721A9" w:rsidRPr="00AA0726" w:rsidRDefault="002721A9" w:rsidP="002721A9">
      <w:pPr>
        <w:pStyle w:val="NoSpacing"/>
        <w:rPr>
          <w:rFonts w:asciiTheme="minorHAnsi" w:hAnsiTheme="minorHAnsi" w:cstheme="minorHAnsi"/>
          <w:b/>
          <w:sz w:val="36"/>
          <w:szCs w:val="36"/>
        </w:rPr>
      </w:pPr>
    </w:p>
    <w:sectPr w:rsidR="002721A9" w:rsidRPr="00AA0726" w:rsidSect="00AA0726">
      <w:headerReference w:type="default" r:id="rId8"/>
      <w:footerReference w:type="default" r:id="rId9"/>
      <w:pgSz w:w="11906" w:h="16838"/>
      <w:pgMar w:top="2552" w:right="1440" w:bottom="216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419B5" w14:textId="77777777" w:rsidR="004D1BD0" w:rsidRDefault="004D1BD0" w:rsidP="00447503">
      <w:pPr>
        <w:spacing w:after="0" w:line="240" w:lineRule="auto"/>
      </w:pPr>
      <w:r>
        <w:separator/>
      </w:r>
    </w:p>
  </w:endnote>
  <w:endnote w:type="continuationSeparator" w:id="0">
    <w:p w14:paraId="23EA2934" w14:textId="77777777" w:rsidR="004D1BD0" w:rsidRDefault="004D1BD0" w:rsidP="0044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BE996" w14:textId="1B73F166" w:rsidR="00AB694A" w:rsidRPr="002C607B" w:rsidRDefault="00AB694A" w:rsidP="00AB694A">
    <w:pPr>
      <w:pStyle w:val="Footer"/>
      <w:rPr>
        <w:rFonts w:ascii="Arial" w:hAnsi="Arial" w:cs="Arial"/>
        <w:color w:val="FFFFFF" w:themeColor="background1"/>
        <w:sz w:val="20"/>
        <w:szCs w:val="20"/>
      </w:rPr>
    </w:pPr>
    <w:r w:rsidRPr="002C607B">
      <w:rPr>
        <w:rFonts w:ascii="Arial" w:hAnsi="Arial" w:cs="Arial"/>
        <w:noProof/>
        <w:color w:val="FFFFFF" w:themeColor="background1"/>
        <w:sz w:val="20"/>
        <w:szCs w:val="20"/>
      </w:rPr>
      <w:drawing>
        <wp:anchor distT="0" distB="0" distL="114300" distR="114300" simplePos="0" relativeHeight="251660288" behindDoc="1" locked="0" layoutInCell="1" allowOverlap="1" wp14:anchorId="3E17AE9E" wp14:editId="5ED5323C">
          <wp:simplePos x="0" y="0"/>
          <wp:positionH relativeFrom="page">
            <wp:align>left</wp:align>
          </wp:positionH>
          <wp:positionV relativeFrom="page">
            <wp:posOffset>9353549</wp:posOffset>
          </wp:positionV>
          <wp:extent cx="7541260" cy="1346835"/>
          <wp:effectExtent l="0" t="0" r="2540" b="571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607B">
      <w:rPr>
        <w:rFonts w:ascii="Arial" w:hAnsi="Arial" w:cs="Arial"/>
        <w:noProof/>
        <w:color w:val="FFFFFF" w:themeColor="background1"/>
        <w:sz w:val="20"/>
        <w:szCs w:val="20"/>
      </w:rPr>
      <w:t>Teréz körút 46, Budapest</w:t>
    </w:r>
    <w:r w:rsidRPr="002C607B">
      <w:rPr>
        <w:rFonts w:ascii="Arial" w:hAnsi="Arial" w:cs="Arial"/>
        <w:color w:val="FFFFFF" w:themeColor="background1"/>
        <w:sz w:val="20"/>
        <w:szCs w:val="20"/>
      </w:rPr>
      <w:tab/>
    </w:r>
    <w:r w:rsidRPr="002C607B">
      <w:rPr>
        <w:rFonts w:ascii="Arial" w:hAnsi="Arial" w:cs="Arial"/>
        <w:color w:val="FFFFFF" w:themeColor="background1"/>
        <w:sz w:val="20"/>
        <w:szCs w:val="20"/>
      </w:rPr>
      <w:tab/>
    </w:r>
    <w:r w:rsidR="00413C76" w:rsidRPr="002C607B">
      <w:rPr>
        <w:rFonts w:ascii="Arial" w:hAnsi="Arial" w:cs="Arial"/>
        <w:color w:val="FFFFFF" w:themeColor="background1"/>
        <w:sz w:val="20"/>
        <w:szCs w:val="20"/>
      </w:rPr>
      <w:t>info@romaeducationfund.org</w:t>
    </w:r>
    <w:r w:rsidRPr="002C607B">
      <w:rPr>
        <w:rFonts w:ascii="Arial" w:hAnsi="Arial" w:cs="Arial"/>
        <w:color w:val="FFFFFF" w:themeColor="background1"/>
        <w:sz w:val="20"/>
        <w:szCs w:val="20"/>
      </w:rPr>
      <w:t xml:space="preserve"> </w:t>
    </w:r>
  </w:p>
  <w:p w14:paraId="5B6CD13E" w14:textId="4A00913F" w:rsidR="00447503" w:rsidRPr="002C607B" w:rsidRDefault="00AB694A" w:rsidP="00AB694A">
    <w:pPr>
      <w:pStyle w:val="Footer"/>
      <w:rPr>
        <w:rFonts w:ascii="Arial" w:hAnsi="Arial" w:cs="Arial"/>
        <w:color w:val="FFFFFF" w:themeColor="background1"/>
        <w:sz w:val="20"/>
        <w:szCs w:val="20"/>
      </w:rPr>
    </w:pPr>
    <w:r w:rsidRPr="002C607B">
      <w:rPr>
        <w:rFonts w:ascii="Arial" w:hAnsi="Arial" w:cs="Arial"/>
        <w:color w:val="FFFFFF" w:themeColor="background1"/>
        <w:sz w:val="20"/>
        <w:szCs w:val="20"/>
      </w:rPr>
      <w:t>Hungary 1066</w:t>
    </w:r>
    <w:r w:rsidRPr="002C607B">
      <w:rPr>
        <w:rFonts w:ascii="Arial" w:hAnsi="Arial" w:cs="Arial"/>
        <w:color w:val="FFFFFF" w:themeColor="background1"/>
        <w:sz w:val="20"/>
        <w:szCs w:val="20"/>
      </w:rPr>
      <w:tab/>
    </w:r>
    <w:r w:rsidRPr="002C607B">
      <w:rPr>
        <w:rFonts w:ascii="Arial" w:hAnsi="Arial" w:cs="Arial"/>
        <w:color w:val="FFFFFF" w:themeColor="background1"/>
        <w:sz w:val="20"/>
        <w:szCs w:val="20"/>
      </w:rPr>
      <w:tab/>
    </w:r>
    <w:r w:rsidR="00413C76" w:rsidRPr="002C607B">
      <w:rPr>
        <w:rFonts w:ascii="Arial" w:hAnsi="Arial" w:cs="Arial"/>
        <w:color w:val="FFFFFF" w:themeColor="background1"/>
        <w:sz w:val="20"/>
        <w:szCs w:val="20"/>
      </w:rPr>
      <w:t>www.romaeducationfund.org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B7933" w14:textId="77777777" w:rsidR="004D1BD0" w:rsidRDefault="004D1BD0" w:rsidP="00447503">
      <w:pPr>
        <w:spacing w:after="0" w:line="240" w:lineRule="auto"/>
      </w:pPr>
      <w:r>
        <w:separator/>
      </w:r>
    </w:p>
  </w:footnote>
  <w:footnote w:type="continuationSeparator" w:id="0">
    <w:p w14:paraId="5D72E395" w14:textId="77777777" w:rsidR="004D1BD0" w:rsidRDefault="004D1BD0" w:rsidP="0044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89E84" w14:textId="77777777" w:rsidR="00447503" w:rsidRDefault="0044750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CDA8B8C" wp14:editId="57283F77">
          <wp:simplePos x="0" y="0"/>
          <wp:positionH relativeFrom="column">
            <wp:posOffset>-914400</wp:posOffset>
          </wp:positionH>
          <wp:positionV relativeFrom="page">
            <wp:posOffset>0</wp:posOffset>
          </wp:positionV>
          <wp:extent cx="7545600" cy="15696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600" cy="15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7B28"/>
    <w:multiLevelType w:val="hybridMultilevel"/>
    <w:tmpl w:val="8C8C5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F282B"/>
    <w:multiLevelType w:val="hybridMultilevel"/>
    <w:tmpl w:val="715C383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31975"/>
    <w:multiLevelType w:val="hybridMultilevel"/>
    <w:tmpl w:val="B34E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85565"/>
    <w:multiLevelType w:val="hybridMultilevel"/>
    <w:tmpl w:val="75CC7A0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C4BDE"/>
    <w:multiLevelType w:val="hybridMultilevel"/>
    <w:tmpl w:val="BF76A532"/>
    <w:lvl w:ilvl="0" w:tplc="63C058D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1BD620EE"/>
    <w:multiLevelType w:val="multilevel"/>
    <w:tmpl w:val="19C4C74C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" w:hanging="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" w:hanging="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" w:hanging="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" w:hanging="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" w:hanging="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" w:hanging="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" w:hanging="57"/>
      </w:pPr>
      <w:rPr>
        <w:rFonts w:hint="default"/>
      </w:rPr>
    </w:lvl>
  </w:abstractNum>
  <w:abstractNum w:abstractNumId="6" w15:restartNumberingAfterBreak="0">
    <w:nsid w:val="216137C2"/>
    <w:multiLevelType w:val="hybridMultilevel"/>
    <w:tmpl w:val="03FC1B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42F4A"/>
    <w:multiLevelType w:val="multilevel"/>
    <w:tmpl w:val="CD3C219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466725CD"/>
    <w:multiLevelType w:val="hybridMultilevel"/>
    <w:tmpl w:val="C194C7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F2966"/>
    <w:multiLevelType w:val="hybridMultilevel"/>
    <w:tmpl w:val="B524A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C92E9F"/>
    <w:multiLevelType w:val="hybridMultilevel"/>
    <w:tmpl w:val="8F4CD0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93D1B"/>
    <w:multiLevelType w:val="hybridMultilevel"/>
    <w:tmpl w:val="A8D0A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6559D"/>
    <w:multiLevelType w:val="hybridMultilevel"/>
    <w:tmpl w:val="61962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E61D7"/>
    <w:multiLevelType w:val="hybridMultilevel"/>
    <w:tmpl w:val="78B41F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E4750"/>
    <w:multiLevelType w:val="hybridMultilevel"/>
    <w:tmpl w:val="18665BA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790C96"/>
    <w:multiLevelType w:val="hybridMultilevel"/>
    <w:tmpl w:val="FDA6747A"/>
    <w:lvl w:ilvl="0" w:tplc="0C00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76737170"/>
    <w:multiLevelType w:val="hybridMultilevel"/>
    <w:tmpl w:val="69CC4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A0435"/>
    <w:multiLevelType w:val="hybridMultilevel"/>
    <w:tmpl w:val="4B0EC4A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7"/>
  </w:num>
  <w:num w:numId="5">
    <w:abstractNumId w:val="5"/>
  </w:num>
  <w:num w:numId="6">
    <w:abstractNumId w:val="9"/>
  </w:num>
  <w:num w:numId="7">
    <w:abstractNumId w:val="0"/>
  </w:num>
  <w:num w:numId="8">
    <w:abstractNumId w:val="1"/>
  </w:num>
  <w:num w:numId="9">
    <w:abstractNumId w:val="14"/>
  </w:num>
  <w:num w:numId="10">
    <w:abstractNumId w:val="11"/>
  </w:num>
  <w:num w:numId="11">
    <w:abstractNumId w:val="13"/>
  </w:num>
  <w:num w:numId="12">
    <w:abstractNumId w:val="8"/>
  </w:num>
  <w:num w:numId="13">
    <w:abstractNumId w:val="6"/>
  </w:num>
  <w:num w:numId="14">
    <w:abstractNumId w:val="1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03"/>
    <w:rsid w:val="001369F8"/>
    <w:rsid w:val="0019716F"/>
    <w:rsid w:val="001F7A7D"/>
    <w:rsid w:val="002721A9"/>
    <w:rsid w:val="002B4E9D"/>
    <w:rsid w:val="002C607B"/>
    <w:rsid w:val="00413C76"/>
    <w:rsid w:val="00415063"/>
    <w:rsid w:val="004265A9"/>
    <w:rsid w:val="00447503"/>
    <w:rsid w:val="004D1BD0"/>
    <w:rsid w:val="005278FB"/>
    <w:rsid w:val="00544483"/>
    <w:rsid w:val="005D0003"/>
    <w:rsid w:val="0062126F"/>
    <w:rsid w:val="006869E3"/>
    <w:rsid w:val="00870059"/>
    <w:rsid w:val="00894D93"/>
    <w:rsid w:val="00AA0726"/>
    <w:rsid w:val="00AB694A"/>
    <w:rsid w:val="00B51A4B"/>
    <w:rsid w:val="00D70673"/>
    <w:rsid w:val="00E26D53"/>
    <w:rsid w:val="00F32F7B"/>
    <w:rsid w:val="00F55051"/>
    <w:rsid w:val="00F8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71F59"/>
  <w15:chartTrackingRefBased/>
  <w15:docId w15:val="{62254855-34EA-4536-BE48-BE398B25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9E3"/>
    <w:pPr>
      <w:spacing w:after="200" w:line="276" w:lineRule="auto"/>
    </w:pPr>
    <w:rPr>
      <w:rFonts w:ascii="Calibri" w:eastAsia="Calibri" w:hAnsi="Calibri" w:cs="Calibri"/>
      <w:lang w:val="en-US"/>
    </w:rPr>
  </w:style>
  <w:style w:type="paragraph" w:styleId="Heading2">
    <w:name w:val="heading 2"/>
    <w:basedOn w:val="Normal"/>
    <w:link w:val="Heading2Char"/>
    <w:uiPriority w:val="9"/>
    <w:qFormat/>
    <w:rsid w:val="006869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503"/>
  </w:style>
  <w:style w:type="paragraph" w:styleId="Footer">
    <w:name w:val="footer"/>
    <w:basedOn w:val="Normal"/>
    <w:link w:val="FooterChar"/>
    <w:uiPriority w:val="99"/>
    <w:unhideWhenUsed/>
    <w:rsid w:val="0044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503"/>
  </w:style>
  <w:style w:type="paragraph" w:styleId="NoSpacing">
    <w:name w:val="No Spacing"/>
    <w:uiPriority w:val="1"/>
    <w:qFormat/>
    <w:rsid w:val="00544483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544483"/>
    <w:pPr>
      <w:spacing w:after="0" w:line="240" w:lineRule="auto"/>
      <w:ind w:left="720"/>
    </w:pPr>
    <w:rPr>
      <w:rFonts w:cs="Times New Roman"/>
      <w:lang w:val="ro-RO" w:eastAsia="ro-RO"/>
    </w:rPr>
  </w:style>
  <w:style w:type="paragraph" w:styleId="NormalWeb">
    <w:name w:val="Normal (Web)"/>
    <w:basedOn w:val="Normal"/>
    <w:uiPriority w:val="99"/>
    <w:unhideWhenUsed/>
    <w:rsid w:val="0054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CommentReference">
    <w:name w:val="annotation reference"/>
    <w:basedOn w:val="DefaultParagraphFont"/>
    <w:uiPriority w:val="99"/>
    <w:unhideWhenUsed/>
    <w:rsid w:val="00E26D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D5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D5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5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869E3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Title">
    <w:name w:val="Title"/>
    <w:basedOn w:val="Normal"/>
    <w:link w:val="TitleChar"/>
    <w:uiPriority w:val="99"/>
    <w:qFormat/>
    <w:rsid w:val="006869E3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6869E3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styleId="FootnoteReference">
    <w:name w:val="footnote reference"/>
    <w:aliases w:val="Footnote Refernece Char Char,Footnote Refernece + (Latein) Arial Char Char,10 pt Char Char,Blau Char Char,Fussnota Char Char,Footnote symbol Char Char,Footnote Char Char,BVI fnr Char Char Char,BVI fnr Car Car Char Char Char,10 pt,Blau"/>
    <w:basedOn w:val="DefaultParagraphFont"/>
    <w:link w:val="FootnoteReferneceChar"/>
    <w:qFormat/>
    <w:rsid w:val="006869E3"/>
    <w:rPr>
      <w:rFonts w:ascii="Times New Roman" w:hAnsi="Times New Roman" w:cs="Times New Roman"/>
      <w:sz w:val="27"/>
      <w:szCs w:val="27"/>
      <w:vertAlign w:val="superscript"/>
      <w:lang w:val="en-US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 de bas de page2,f"/>
    <w:basedOn w:val="Normal"/>
    <w:link w:val="FootnoteTextChar"/>
    <w:qFormat/>
    <w:rsid w:val="006869E3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 Char"/>
    <w:basedOn w:val="DefaultParagraphFont"/>
    <w:link w:val="FootnoteText"/>
    <w:rsid w:val="006869E3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rsid w:val="006869E3"/>
    <w:rPr>
      <w:color w:val="0000FF"/>
      <w:u w:val="single"/>
    </w:rPr>
  </w:style>
  <w:style w:type="table" w:styleId="TableGrid">
    <w:name w:val="Table Grid"/>
    <w:basedOn w:val="TableNormal"/>
    <w:uiPriority w:val="59"/>
    <w:rsid w:val="006869E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ReferneceChar">
    <w:name w:val="Footnote Refernece Char"/>
    <w:aliases w:val="Footnote Refernece + (Latein) Arial Char,10 pt Char,Blau Char,Fussnota Char,Footnote symbol Char,BVI fnr Char Char,BVI fnr Car Car Char Char,BVI fnr Car Char Char"/>
    <w:basedOn w:val="Normal"/>
    <w:link w:val="FootnoteReference"/>
    <w:rsid w:val="006869E3"/>
    <w:pPr>
      <w:spacing w:after="160" w:line="240" w:lineRule="exact"/>
    </w:pPr>
    <w:rPr>
      <w:rFonts w:ascii="Times New Roman" w:eastAsiaTheme="minorHAnsi" w:hAnsi="Times New Roman" w:cs="Times New Roman"/>
      <w:sz w:val="27"/>
      <w:szCs w:val="27"/>
      <w:vertAlign w:val="superscript"/>
    </w:rPr>
  </w:style>
  <w:style w:type="character" w:styleId="Emphasis">
    <w:name w:val="Emphasis"/>
    <w:basedOn w:val="DefaultParagraphFont"/>
    <w:uiPriority w:val="20"/>
    <w:qFormat/>
    <w:rsid w:val="006869E3"/>
    <w:rPr>
      <w:i/>
      <w:iCs/>
    </w:rPr>
  </w:style>
  <w:style w:type="paragraph" w:styleId="BodyTextIndent">
    <w:name w:val="Body Text Indent"/>
    <w:basedOn w:val="Normal"/>
    <w:link w:val="BodyTextIndentChar"/>
    <w:rsid w:val="00AA0726"/>
    <w:pPr>
      <w:tabs>
        <w:tab w:val="right" w:pos="8789"/>
      </w:tabs>
      <w:suppressAutoHyphens/>
      <w:spacing w:before="100" w:after="0" w:line="240" w:lineRule="auto"/>
    </w:pPr>
    <w:rPr>
      <w:rFonts w:ascii="Arial" w:eastAsia="Times New Roman" w:hAnsi="Arial" w:cs="Times New Roman"/>
      <w:snapToGrid w:val="0"/>
      <w:spacing w:val="-2"/>
      <w:sz w:val="20"/>
      <w:szCs w:val="20"/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AA0726"/>
    <w:rPr>
      <w:rFonts w:ascii="Arial" w:eastAsia="Times New Roman" w:hAnsi="Arial" w:cs="Times New Roman"/>
      <w:snapToGrid w:val="0"/>
      <w:spacing w:val="-2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3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01F59-6474-4873-B94B-CA150511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Kekić</dc:creator>
  <cp:keywords/>
  <dc:description/>
  <cp:lastModifiedBy>Nevsija Durmish</cp:lastModifiedBy>
  <cp:revision>2</cp:revision>
  <dcterms:created xsi:type="dcterms:W3CDTF">2019-02-28T10:39:00Z</dcterms:created>
  <dcterms:modified xsi:type="dcterms:W3CDTF">2019-02-28T10:39:00Z</dcterms:modified>
</cp:coreProperties>
</file>